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73" w:rsidRPr="00135CA8" w:rsidRDefault="00734973" w:rsidP="00734973">
      <w:pPr>
        <w:spacing w:after="0"/>
        <w:jc w:val="center"/>
        <w:rPr>
          <w:rFonts w:ascii="Trebuchet MS" w:hAnsi="Trebuchet MS" w:cs="Phetsarath OT"/>
          <w:bCs/>
          <w:sz w:val="24"/>
          <w:szCs w:val="24"/>
        </w:rPr>
      </w:pPr>
      <w:r w:rsidRPr="00135CA8">
        <w:rPr>
          <w:rFonts w:ascii="Trebuchet MS" w:hAnsi="Trebuchet MS" w:cs="Phetsarath OT"/>
          <w:bCs/>
          <w:sz w:val="24"/>
          <w:szCs w:val="24"/>
        </w:rPr>
        <w:t>Tentative Agenda</w:t>
      </w:r>
    </w:p>
    <w:p w:rsidR="00734973" w:rsidRPr="00110E08" w:rsidRDefault="00734973" w:rsidP="00734973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  <w:r w:rsidRPr="00110E08">
        <w:rPr>
          <w:rFonts w:ascii="Trebuchet MS" w:hAnsi="Trebuchet MS" w:cs="Phetsarath OT"/>
          <w:b/>
          <w:bCs/>
          <w:sz w:val="32"/>
          <w:szCs w:val="24"/>
        </w:rPr>
        <w:t>3-Day</w:t>
      </w:r>
      <w:r>
        <w:rPr>
          <w:rFonts w:ascii="Trebuchet MS" w:hAnsi="Trebuchet MS" w:cs="Phetsarath OT"/>
          <w:b/>
          <w:bCs/>
          <w:sz w:val="32"/>
          <w:szCs w:val="24"/>
        </w:rPr>
        <w:t xml:space="preserve"> National Specialized</w:t>
      </w:r>
      <w:r w:rsidRPr="00110E08">
        <w:rPr>
          <w:rFonts w:ascii="Trebuchet MS" w:hAnsi="Trebuchet MS" w:cs="Phetsarath OT"/>
          <w:b/>
          <w:bCs/>
          <w:sz w:val="32"/>
          <w:szCs w:val="24"/>
        </w:rPr>
        <w:t xml:space="preserve"> Training Course:</w:t>
      </w:r>
    </w:p>
    <w:p w:rsidR="00734973" w:rsidRDefault="00734973" w:rsidP="00734973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  <w:r w:rsidRPr="00110E08">
        <w:rPr>
          <w:rFonts w:ascii="Trebuchet MS" w:hAnsi="Trebuchet MS" w:cs="Phetsarath OT"/>
          <w:b/>
          <w:bCs/>
          <w:sz w:val="32"/>
          <w:szCs w:val="24"/>
        </w:rPr>
        <w:t xml:space="preserve">“Post-Disaster Needs Assessment and Recovery in </w:t>
      </w:r>
      <w:r>
        <w:rPr>
          <w:rFonts w:ascii="Trebuchet MS" w:hAnsi="Trebuchet MS" w:cs="Phetsarath OT"/>
          <w:b/>
          <w:bCs/>
          <w:sz w:val="32"/>
          <w:szCs w:val="24"/>
        </w:rPr>
        <w:t>Vietnam</w:t>
      </w:r>
      <w:r w:rsidRPr="00110E08">
        <w:rPr>
          <w:rFonts w:ascii="Trebuchet MS" w:hAnsi="Trebuchet MS" w:cs="Phetsarath OT"/>
          <w:b/>
          <w:bCs/>
          <w:sz w:val="32"/>
          <w:szCs w:val="24"/>
        </w:rPr>
        <w:t>”</w:t>
      </w:r>
    </w:p>
    <w:p w:rsidR="00734973" w:rsidRPr="00110E08" w:rsidRDefault="00734973" w:rsidP="00734973">
      <w:pPr>
        <w:spacing w:after="0"/>
        <w:jc w:val="center"/>
        <w:rPr>
          <w:rFonts w:ascii="Trebuchet MS" w:hAnsi="Trebuchet MS" w:cs="Phetsarath OT"/>
          <w:b/>
          <w:bCs/>
          <w:sz w:val="3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415"/>
        <w:gridCol w:w="5814"/>
        <w:gridCol w:w="2647"/>
      </w:tblGrid>
      <w:tr w:rsidR="00734973" w:rsidRPr="0002242C" w:rsidTr="001410FA">
        <w:trPr>
          <w:trHeight w:val="217"/>
          <w:tblHeader/>
        </w:trPr>
        <w:tc>
          <w:tcPr>
            <w:tcW w:w="94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Time</w:t>
            </w:r>
          </w:p>
        </w:tc>
        <w:tc>
          <w:tcPr>
            <w:tcW w:w="27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Session</w:t>
            </w:r>
          </w:p>
        </w:tc>
        <w:tc>
          <w:tcPr>
            <w:tcW w:w="12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Facilitators</w:t>
            </w:r>
          </w:p>
        </w:tc>
      </w:tr>
      <w:tr w:rsidR="00734973" w:rsidRPr="0002242C" w:rsidTr="001410FA"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EEAF6" w:themeFill="accent1" w:themeFillTint="33"/>
            <w:textDirection w:val="btLr"/>
            <w:vAlign w:val="center"/>
          </w:tcPr>
          <w:p w:rsidR="00734973" w:rsidRPr="007339C6" w:rsidRDefault="00734973" w:rsidP="001410FA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1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08:00-08:30</w:t>
            </w:r>
          </w:p>
        </w:tc>
        <w:tc>
          <w:tcPr>
            <w:tcW w:w="27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Registration</w:t>
            </w:r>
          </w:p>
        </w:tc>
        <w:tc>
          <w:tcPr>
            <w:tcW w:w="127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08:30-09:00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Del="00253193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Welcome and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 xml:space="preserve"> Introduction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Del="00333F13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 xml:space="preserve">Representative of Province </w:t>
            </w:r>
            <w:r>
              <w:rPr>
                <w:rFonts w:ascii="Trebuchet MS" w:hAnsi="Trebuchet MS" w:cs="Phetsarath OT"/>
                <w:bCs/>
                <w:sz w:val="20"/>
                <w:szCs w:val="20"/>
              </w:rPr>
              <w:t>CFSC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Phetsarath OT"/>
                <w:sz w:val="20"/>
                <w:szCs w:val="20"/>
              </w:rPr>
              <w:t>and DMC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.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09:00-09:15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09:15-09:</w:t>
            </w:r>
            <w:r>
              <w:rPr>
                <w:rFonts w:ascii="Trebuchet MS" w:hAnsi="Trebuchet MS" w:cs="Phetsarath OT"/>
                <w:sz w:val="20"/>
                <w:szCs w:val="20"/>
              </w:rPr>
              <w:t>45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S0.1 Training </w:t>
            </w:r>
            <w:r w:rsidRPr="004E4DB4">
              <w:rPr>
                <w:rFonts w:ascii="Trebuchet MS" w:hAnsi="Trebuchet MS" w:cs="Phetsarath OT"/>
                <w:b/>
                <w:sz w:val="20"/>
                <w:szCs w:val="20"/>
              </w:rPr>
              <w:t>Introduction &amp; Pre-Test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  <w:r>
              <w:rPr>
                <w:rFonts w:ascii="Trebuchet MS" w:hAnsi="Trebuchet MS" w:cs="Phetsarath OT"/>
                <w:sz w:val="20"/>
                <w:szCs w:val="20"/>
              </w:rPr>
              <w:t xml:space="preserve"> 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09:</w:t>
            </w:r>
            <w:r>
              <w:rPr>
                <w:rFonts w:ascii="Trebuchet MS" w:hAnsi="Trebuchet MS" w:cs="Phetsarath OT"/>
                <w:sz w:val="20"/>
                <w:szCs w:val="20"/>
              </w:rPr>
              <w:t>45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-10:00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S1.1 Background: Disasters and Post-Disaster Needs Assessment in </w:t>
            </w:r>
            <w:r>
              <w:rPr>
                <w:rFonts w:ascii="Trebuchet MS" w:hAnsi="Trebuchet MS" w:cs="Phetsarath OT"/>
                <w:b/>
                <w:sz w:val="20"/>
                <w:szCs w:val="20"/>
              </w:rPr>
              <w:t>Vietnam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DMC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 xml:space="preserve"> and 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10:00-12:00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S1.2 Key concepts of Post-Disaster Needs Assessment and Recovery</w:t>
            </w:r>
          </w:p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Del="00333F1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  <w:r>
              <w:rPr>
                <w:rFonts w:ascii="Trebuchet MS" w:hAnsi="Trebuchet MS" w:cs="Phetsarath OT"/>
                <w:sz w:val="20"/>
                <w:szCs w:val="20"/>
              </w:rPr>
              <w:t xml:space="preserve"> 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Del="00B360B5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Lunch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13:30-14:</w:t>
            </w:r>
            <w:r>
              <w:rPr>
                <w:rFonts w:ascii="Trebuchet MS" w:hAnsi="Trebuchet MS" w:cs="Phetsarath OT"/>
                <w:sz w:val="20"/>
                <w:szCs w:val="20"/>
              </w:rPr>
              <w:t>45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BB0F7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Exercises and Presentations</w:t>
            </w:r>
            <w:r w:rsidRPr="0002242C" w:rsidDel="00AB7D5E">
              <w:rPr>
                <w:rFonts w:ascii="Trebuchet MS" w:hAnsi="Trebuchet MS" w:cs="Phetsarath O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14:45-15:00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DEEAF6" w:themeFill="accent1" w:themeFillTint="33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15:00-16:30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S1.3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Introduction of </w:t>
            </w:r>
            <w:r>
              <w:rPr>
                <w:rFonts w:ascii="Trebuchet MS" w:hAnsi="Trebuchet MS" w:cs="Phetsarath OT"/>
                <w:b/>
                <w:sz w:val="20"/>
                <w:szCs w:val="20"/>
              </w:rPr>
              <w:t>Vietnam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Sector Guidance Notes: Sector Assessment Process</w:t>
            </w:r>
          </w:p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i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>Group Discussion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rPr>
          <w:trHeight w:val="195"/>
        </w:trPr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9CC2E5" w:themeFill="accent1" w:themeFillTint="99"/>
            <w:textDirection w:val="btLr"/>
            <w:vAlign w:val="center"/>
          </w:tcPr>
          <w:p w:rsidR="00734973" w:rsidRPr="007339C6" w:rsidRDefault="00734973" w:rsidP="001410FA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2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</w:t>
            </w:r>
            <w:r>
              <w:rPr>
                <w:rFonts w:ascii="Trebuchet MS" w:hAnsi="Trebuchet MS" w:cs="Phetsarath OT"/>
                <w:sz w:val="20"/>
                <w:szCs w:val="20"/>
              </w:rPr>
              <w:t>08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:</w:t>
            </w:r>
            <w:r>
              <w:rPr>
                <w:rFonts w:ascii="Trebuchet MS" w:hAnsi="Trebuchet MS" w:cs="Phetsarath OT"/>
                <w:sz w:val="20"/>
                <w:szCs w:val="20"/>
              </w:rPr>
              <w:t>45</w:t>
            </w:r>
          </w:p>
        </w:tc>
        <w:tc>
          <w:tcPr>
            <w:tcW w:w="27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Introduction to Day 2</w:t>
            </w:r>
          </w:p>
        </w:tc>
        <w:tc>
          <w:tcPr>
            <w:tcW w:w="127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734973" w:rsidRPr="0002242C" w:rsidTr="001410FA">
        <w:trPr>
          <w:trHeight w:val="195"/>
        </w:trPr>
        <w:tc>
          <w:tcPr>
            <w:tcW w:w="261" w:type="pct"/>
            <w:vMerge/>
            <w:tcBorders>
              <w:top w:val="single" w:sz="18" w:space="0" w:color="auto"/>
              <w:left w:val="single" w:sz="18" w:space="0" w:color="auto"/>
            </w:tcBorders>
            <w:shd w:val="clear" w:color="auto" w:fill="9CC2E5" w:themeFill="accent1" w:themeFillTint="99"/>
            <w:textDirection w:val="btLr"/>
            <w:vAlign w:val="center"/>
          </w:tcPr>
          <w:p w:rsidR="00734973" w:rsidRPr="007339C6" w:rsidRDefault="00734973" w:rsidP="001410FA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08:45-10:00</w:t>
            </w:r>
          </w:p>
        </w:tc>
        <w:tc>
          <w:tcPr>
            <w:tcW w:w="27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S2.1 Disaster Scenario</w:t>
            </w:r>
          </w:p>
          <w:p w:rsidR="0073497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>Group Discussion</w:t>
            </w:r>
          </w:p>
          <w:p w:rsidR="0073497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S2.2 Sources of baseline data (Step 1)</w:t>
            </w:r>
          </w:p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>Group Exercise</w:t>
            </w:r>
          </w:p>
        </w:tc>
        <w:tc>
          <w:tcPr>
            <w:tcW w:w="127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rPr>
          <w:trHeight w:val="26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10:00-10:15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Del="00B360B5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rPr>
          <w:trHeight w:val="266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10:15-1</w:t>
            </w:r>
            <w:r>
              <w:rPr>
                <w:rFonts w:ascii="Trebuchet MS" w:hAnsi="Trebuchet MS" w:cs="Phetsarath OT"/>
                <w:sz w:val="20"/>
                <w:szCs w:val="20"/>
              </w:rPr>
              <w:t>2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:</w:t>
            </w:r>
            <w:r>
              <w:rPr>
                <w:rFonts w:ascii="Trebuchet MS" w:hAnsi="Trebuchet MS" w:cs="Phetsarath OT"/>
                <w:sz w:val="20"/>
                <w:szCs w:val="20"/>
              </w:rPr>
              <w:t>0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S2.3 Estimating Sector Damage and Losses (Step 2)</w:t>
            </w:r>
          </w:p>
          <w:p w:rsidR="00734973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i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 xml:space="preserve">Group </w:t>
            </w: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</w:t>
            </w:r>
            <w:r>
              <w:rPr>
                <w:rFonts w:ascii="Trebuchet MS" w:hAnsi="Trebuchet MS" w:cs="Phetsarath OT"/>
                <w:i/>
                <w:sz w:val="20"/>
                <w:szCs w:val="20"/>
              </w:rPr>
              <w:t xml:space="preserve"> and Role-Play</w:t>
            </w:r>
          </w:p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i/>
                <w:sz w:val="20"/>
                <w:szCs w:val="20"/>
              </w:rPr>
              <w:t>Discussion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</w:t>
            </w:r>
            <w:r>
              <w:rPr>
                <w:rFonts w:ascii="Trebuchet MS" w:hAnsi="Trebuchet MS" w:cs="Phetsarath OT"/>
                <w:sz w:val="20"/>
                <w:szCs w:val="20"/>
              </w:rPr>
              <w:t>DPC</w:t>
            </w:r>
          </w:p>
        </w:tc>
      </w:tr>
      <w:tr w:rsidR="00734973" w:rsidRPr="0002242C" w:rsidTr="001410FA">
        <w:trPr>
          <w:trHeight w:val="267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12:00-13:30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Lunch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13:30-14:45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S2.4 Validating the Damage and Loss Information 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(Step 3)</w:t>
            </w:r>
          </w:p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9CC2E5" w:themeFill="accent1" w:themeFillTint="99"/>
          </w:tcPr>
          <w:p w:rsidR="00734973" w:rsidRPr="007339C6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15:00-16:30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S2.5 Analyzing the Disaster Impacts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(Step 4)</w:t>
            </w:r>
          </w:p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734973" w:rsidRPr="0002242C" w:rsidTr="001410FA">
        <w:tc>
          <w:tcPr>
            <w:tcW w:w="2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2E74B5" w:themeFill="accent1" w:themeFillShade="BF"/>
            <w:textDirection w:val="btLr"/>
            <w:vAlign w:val="center"/>
          </w:tcPr>
          <w:p w:rsidR="00734973" w:rsidRPr="007339C6" w:rsidRDefault="00734973" w:rsidP="001410FA">
            <w:pPr>
              <w:spacing w:after="0" w:line="240" w:lineRule="auto"/>
              <w:ind w:left="113" w:right="113"/>
              <w:jc w:val="center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7339C6">
              <w:rPr>
                <w:rFonts w:ascii="Trebuchet MS" w:hAnsi="Trebuchet MS" w:cs="Phetsarath OT"/>
                <w:b/>
                <w:sz w:val="20"/>
                <w:szCs w:val="20"/>
              </w:rPr>
              <w:t>Day 3</w:t>
            </w:r>
          </w:p>
        </w:tc>
        <w:tc>
          <w:tcPr>
            <w:tcW w:w="679" w:type="pct"/>
            <w:tcBorders>
              <w:top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08:30-08:45</w:t>
            </w:r>
          </w:p>
        </w:tc>
        <w:tc>
          <w:tcPr>
            <w:tcW w:w="27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 xml:space="preserve">Introduction to Day 3 </w:t>
            </w:r>
          </w:p>
        </w:tc>
        <w:tc>
          <w:tcPr>
            <w:tcW w:w="127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08:45-10:00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S3.1 Sector Recovery Strategies and Needs 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(Step 5)</w:t>
            </w:r>
          </w:p>
          <w:p w:rsidR="00734973" w:rsidRPr="0002242C" w:rsidDel="00DA546F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734973" w:rsidRPr="0002242C" w:rsidTr="001410FA">
        <w:trPr>
          <w:trHeight w:val="210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10:00-10:15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Del="00B360B5" w:rsidRDefault="00734973" w:rsidP="001410FA">
            <w:pPr>
              <w:spacing w:after="0" w:line="240" w:lineRule="auto"/>
              <w:jc w:val="center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rPr>
          <w:trHeight w:val="28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10:15-11:45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>S3.2 Sector Recovery Project Implementation Plans (Step 6)</w:t>
            </w:r>
          </w:p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i/>
                <w:sz w:val="20"/>
                <w:szCs w:val="20"/>
              </w:rPr>
              <w:t>Exercises and Presentations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rPr>
          <w:trHeight w:val="283"/>
        </w:trPr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11:45-12:00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b/>
                <w:sz w:val="20"/>
                <w:szCs w:val="20"/>
              </w:rPr>
            </w:pPr>
            <w:r>
              <w:rPr>
                <w:rFonts w:ascii="Trebuchet MS" w:hAnsi="Trebuchet MS" w:cs="Phetsarath OT"/>
                <w:b/>
                <w:sz w:val="20"/>
                <w:szCs w:val="20"/>
              </w:rPr>
              <w:t>S3.3</w:t>
            </w:r>
            <w:r w:rsidRPr="0002242C">
              <w:rPr>
                <w:rFonts w:ascii="Trebuchet MS" w:hAnsi="Trebuchet MS" w:cs="Phetsarath OT"/>
                <w:b/>
                <w:sz w:val="20"/>
                <w:szCs w:val="20"/>
              </w:rPr>
              <w:t xml:space="preserve"> Sector Post-Disaster Needs Assessment Report (Step 7)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12:00-13:00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Lunch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13:00-13:15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Post-Test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13:15-14:30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S3.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4</w:t>
            </w: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 Preparing Multi-Sector Post-Disaster Needs Assessment Report</w:t>
            </w:r>
          </w:p>
          <w:p w:rsidR="00734973" w:rsidRPr="00BB0F7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  <w:t>Group Discussion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14:45-15:00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center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Tea break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14:45-15:15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S3.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5</w:t>
            </w:r>
            <w:r w:rsidRPr="00BB0F7C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 Recovery and Reconstruction Issues</w:t>
            </w:r>
          </w:p>
          <w:p w:rsidR="00734973" w:rsidRPr="00883EA4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</w:pPr>
            <w:r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  <w:t>Group Exercise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 w:rsidRPr="0002242C">
              <w:rPr>
                <w:rFonts w:ascii="Trebuchet MS" w:hAnsi="Trebuchet MS" w:cs="Phetsarath OT"/>
                <w:sz w:val="20"/>
                <w:szCs w:val="20"/>
              </w:rPr>
              <w:t>ADPC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15:15-16:15</w:t>
            </w:r>
          </w:p>
        </w:tc>
        <w:tc>
          <w:tcPr>
            <w:tcW w:w="279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</w:pPr>
            <w:r w:rsidRPr="00FE3D78"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 xml:space="preserve">S3.6 </w:t>
            </w:r>
            <w:r>
              <w:rPr>
                <w:rFonts w:ascii="Trebuchet MS" w:eastAsia="Times New Roman" w:hAnsi="Trebuchet MS" w:cs="Phetsarath OT"/>
                <w:b/>
                <w:sz w:val="20"/>
                <w:szCs w:val="20"/>
                <w:lang w:bidi="km-KH"/>
              </w:rPr>
              <w:t>Vietnam’s Pool of Experts: The Next Steps</w:t>
            </w:r>
          </w:p>
          <w:p w:rsidR="00734973" w:rsidRPr="005A47A0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</w:pPr>
            <w:r>
              <w:rPr>
                <w:rFonts w:ascii="Trebuchet MS" w:eastAsia="Times New Roman" w:hAnsi="Trebuchet MS" w:cs="Phetsarath OT"/>
                <w:i/>
                <w:sz w:val="20"/>
                <w:szCs w:val="20"/>
                <w:lang w:bidi="km-KH"/>
              </w:rPr>
              <w:t>Group Presentations</w:t>
            </w:r>
          </w:p>
        </w:tc>
        <w:tc>
          <w:tcPr>
            <w:tcW w:w="1270" w:type="pct"/>
            <w:tcBorders>
              <w:left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jc w:val="both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>Participants</w:t>
            </w:r>
          </w:p>
        </w:tc>
      </w:tr>
      <w:tr w:rsidR="00734973" w:rsidRPr="0002242C" w:rsidTr="001410FA">
        <w:tc>
          <w:tcPr>
            <w:tcW w:w="261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2E74B5" w:themeFill="accent1" w:themeFillShade="BF"/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</w:p>
        </w:tc>
        <w:tc>
          <w:tcPr>
            <w:tcW w:w="679" w:type="pct"/>
            <w:tcBorders>
              <w:bottom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16:15-16:30</w:t>
            </w:r>
          </w:p>
        </w:tc>
        <w:tc>
          <w:tcPr>
            <w:tcW w:w="279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</w:pPr>
            <w:r w:rsidRPr="0002242C">
              <w:rPr>
                <w:rFonts w:ascii="Trebuchet MS" w:eastAsia="Times New Roman" w:hAnsi="Trebuchet MS" w:cs="Phetsarath OT"/>
                <w:sz w:val="20"/>
                <w:szCs w:val="20"/>
                <w:lang w:bidi="km-KH"/>
              </w:rPr>
              <w:t>Closing Remarks</w:t>
            </w:r>
          </w:p>
        </w:tc>
        <w:tc>
          <w:tcPr>
            <w:tcW w:w="127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973" w:rsidRPr="0002242C" w:rsidRDefault="00734973" w:rsidP="001410FA">
            <w:pPr>
              <w:spacing w:after="0" w:line="240" w:lineRule="auto"/>
              <w:rPr>
                <w:rFonts w:ascii="Trebuchet MS" w:hAnsi="Trebuchet MS" w:cs="Phetsarath OT"/>
                <w:sz w:val="20"/>
                <w:szCs w:val="20"/>
              </w:rPr>
            </w:pPr>
            <w:r>
              <w:rPr>
                <w:rFonts w:ascii="Trebuchet MS" w:hAnsi="Trebuchet MS" w:cs="Phetsarath OT"/>
                <w:sz w:val="20"/>
                <w:szCs w:val="20"/>
              </w:rPr>
              <w:t xml:space="preserve">Representative of </w:t>
            </w:r>
            <w:r>
              <w:rPr>
                <w:rFonts w:ascii="Trebuchet MS" w:hAnsi="Trebuchet MS" w:cs="Phetsarath OT"/>
                <w:bCs/>
                <w:sz w:val="20"/>
                <w:szCs w:val="20"/>
              </w:rPr>
              <w:t>Province CFSC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Phetsarath OT"/>
                <w:sz w:val="20"/>
                <w:szCs w:val="20"/>
              </w:rPr>
              <w:t>and DMC</w:t>
            </w:r>
            <w:r w:rsidRPr="0002242C">
              <w:rPr>
                <w:rFonts w:ascii="Trebuchet MS" w:hAnsi="Trebuchet MS" w:cs="Phetsarath OT"/>
                <w:sz w:val="20"/>
                <w:szCs w:val="20"/>
              </w:rPr>
              <w:t>.</w:t>
            </w:r>
          </w:p>
        </w:tc>
      </w:tr>
    </w:tbl>
    <w:p w:rsidR="00461136" w:rsidRDefault="00461136">
      <w:bookmarkStart w:id="0" w:name="_GoBack"/>
      <w:bookmarkEnd w:id="0"/>
    </w:p>
    <w:sectPr w:rsidR="00461136" w:rsidSect="007349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hetsarath OT">
    <w:charset w:val="00"/>
    <w:family w:val="auto"/>
    <w:pitch w:val="variable"/>
    <w:sig w:usb0="A30000A7" w:usb1="5000004A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73"/>
    <w:rsid w:val="00461136"/>
    <w:rsid w:val="0073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5D3BA-086A-48D4-B509-3A38D80B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MY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973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Pearn</dc:creator>
  <cp:keywords/>
  <dc:description/>
  <cp:lastModifiedBy>G Pearn</cp:lastModifiedBy>
  <cp:revision>1</cp:revision>
  <dcterms:created xsi:type="dcterms:W3CDTF">2015-11-02T02:51:00Z</dcterms:created>
  <dcterms:modified xsi:type="dcterms:W3CDTF">2015-11-02T02:53:00Z</dcterms:modified>
</cp:coreProperties>
</file>